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583D83" w14:textId="77777777" w:rsidR="009C777F" w:rsidRDefault="00C55E51">
      <w:pPr>
        <w:pageBreakBefore/>
        <w:spacing w:before="114" w:line="224" w:lineRule="auto"/>
        <w:ind w:left="1990"/>
        <w:rPr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35"/>
          <w:szCs w:val="35"/>
        </w:rPr>
        <w:t>202</w:t>
      </w:r>
      <w:r>
        <w:rPr>
          <w:rFonts w:ascii="Times New Roman" w:hAnsi="Times New Roman" w:cs="Times New Roman" w:hint="eastAsia"/>
          <w:b/>
          <w:bCs/>
          <w:spacing w:val="6"/>
          <w:sz w:val="35"/>
          <w:szCs w:val="35"/>
        </w:rPr>
        <w:t>5</w:t>
      </w:r>
      <w:r>
        <w:rPr>
          <w:b/>
          <w:bCs/>
          <w:spacing w:val="6"/>
          <w:sz w:val="35"/>
          <w:szCs w:val="35"/>
        </w:rPr>
        <w:t>年度</w:t>
      </w:r>
      <w:r>
        <w:rPr>
          <w:rFonts w:hint="eastAsia"/>
          <w:b/>
          <w:bCs/>
          <w:spacing w:val="6"/>
          <w:sz w:val="35"/>
          <w:szCs w:val="35"/>
        </w:rPr>
        <w:t>国家</w:t>
      </w:r>
      <w:r>
        <w:rPr>
          <w:b/>
          <w:bCs/>
          <w:spacing w:val="6"/>
          <w:sz w:val="35"/>
          <w:szCs w:val="35"/>
        </w:rPr>
        <w:t>科学技术奖公示表</w:t>
      </w:r>
    </w:p>
    <w:p w14:paraId="3D77F8A5" w14:textId="77777777" w:rsidR="009C777F" w:rsidRDefault="00C55E51">
      <w:pPr>
        <w:spacing w:before="43" w:line="224" w:lineRule="auto"/>
        <w:jc w:val="center"/>
        <w:outlineLvl w:val="0"/>
        <w:rPr>
          <w:sz w:val="35"/>
          <w:szCs w:val="35"/>
        </w:rPr>
      </w:pPr>
      <w:r>
        <w:rPr>
          <w:b/>
          <w:bCs/>
          <w:spacing w:val="-35"/>
          <w:sz w:val="35"/>
          <w:szCs w:val="35"/>
        </w:rPr>
        <w:t>（科技进步奖）</w:t>
      </w:r>
    </w:p>
    <w:p w14:paraId="672C78F3" w14:textId="77777777" w:rsidR="009C777F" w:rsidRDefault="009C777F">
      <w:pPr>
        <w:spacing w:line="230" w:lineRule="exact"/>
      </w:pPr>
    </w:p>
    <w:tbl>
      <w:tblPr>
        <w:tblStyle w:val="TableNormal"/>
        <w:tblW w:w="9001" w:type="dxa"/>
        <w:tblInd w:w="-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413"/>
      </w:tblGrid>
      <w:tr w:rsidR="009C777F" w14:paraId="5411A0A5" w14:textId="77777777">
        <w:trPr>
          <w:trHeight w:val="510"/>
        </w:trPr>
        <w:tc>
          <w:tcPr>
            <w:tcW w:w="1588" w:type="dxa"/>
          </w:tcPr>
          <w:p w14:paraId="03E14087" w14:textId="77777777" w:rsidR="009C777F" w:rsidRDefault="00C55E51">
            <w:pPr>
              <w:spacing w:before="172" w:line="229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20"/>
                <w:szCs w:val="20"/>
              </w:rPr>
              <w:t>项目名称</w:t>
            </w:r>
          </w:p>
        </w:tc>
        <w:tc>
          <w:tcPr>
            <w:tcW w:w="7413" w:type="dxa"/>
            <w:vAlign w:val="center"/>
          </w:tcPr>
          <w:p w14:paraId="7C1F6685" w14:textId="77777777" w:rsidR="009C777F" w:rsidRDefault="00C55E51">
            <w:pPr>
              <w:pStyle w:val="TableText"/>
              <w:jc w:val="center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  <w:lang w:eastAsia="zh-CN"/>
              </w:rPr>
              <w:t>超宽深埋钢壳混凝土沉管隧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  <w:lang w:eastAsia="zh-CN"/>
              </w:rPr>
              <w:t>道建设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  <w:lang w:eastAsia="zh-CN"/>
              </w:rPr>
              <w:t>关键技术、装备及应用</w:t>
            </w:r>
          </w:p>
        </w:tc>
      </w:tr>
      <w:tr w:rsidR="009C777F" w14:paraId="3AFA37B5" w14:textId="77777777">
        <w:trPr>
          <w:trHeight w:val="510"/>
        </w:trPr>
        <w:tc>
          <w:tcPr>
            <w:tcW w:w="1588" w:type="dxa"/>
          </w:tcPr>
          <w:p w14:paraId="0A581953" w14:textId="77777777" w:rsidR="009C777F" w:rsidRDefault="00C55E51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  <w:t>提名者</w:t>
            </w:r>
          </w:p>
        </w:tc>
        <w:tc>
          <w:tcPr>
            <w:tcW w:w="7413" w:type="dxa"/>
            <w:vAlign w:val="center"/>
          </w:tcPr>
          <w:p w14:paraId="651E5A93" w14:textId="77777777" w:rsidR="009C777F" w:rsidRDefault="00C55E51">
            <w:pPr>
              <w:pStyle w:val="TableText"/>
              <w:jc w:val="center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  <w:lang w:eastAsia="zh-CN"/>
              </w:rPr>
              <w:t>交通运输部</w:t>
            </w:r>
          </w:p>
        </w:tc>
      </w:tr>
      <w:tr w:rsidR="009C777F" w14:paraId="36EFF995" w14:textId="77777777">
        <w:trPr>
          <w:trHeight w:val="510"/>
        </w:trPr>
        <w:tc>
          <w:tcPr>
            <w:tcW w:w="1588" w:type="dxa"/>
            <w:vAlign w:val="center"/>
          </w:tcPr>
          <w:p w14:paraId="604DC571" w14:textId="77777777" w:rsidR="009C777F" w:rsidRDefault="00C55E51">
            <w:pPr>
              <w:spacing w:before="65" w:line="229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20"/>
                <w:szCs w:val="20"/>
              </w:rPr>
              <w:t>主要完成单位</w:t>
            </w:r>
          </w:p>
        </w:tc>
        <w:tc>
          <w:tcPr>
            <w:tcW w:w="7413" w:type="dxa"/>
            <w:vAlign w:val="center"/>
          </w:tcPr>
          <w:p w14:paraId="2D42E7AD" w14:textId="16B2D5C3" w:rsidR="009C777F" w:rsidRDefault="00C55E51" w:rsidP="00622A6C">
            <w:pPr>
              <w:spacing w:before="98" w:line="229" w:lineRule="auto"/>
              <w:ind w:left="119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广东省交通集团有限公司、中交公路规划设计院有限公司、中交第一航务工程局有限公司、中交第四航务工程局有限公司、深中通道管理中心、清华大学、广船国际有限公司、中船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黄埔文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冲船舶有限公司、广州打捞局、保利长大工程有限公司、广东省公路建设有限公司、上海市隧道工程轨道交通设计研究院、中国水利水电科学研究院、中交公路长大桥建设国家工程研究中心有限公司、江苏苏博特新材料股份有限公司、同济大学、中交广州航道局有限公司、</w:t>
            </w:r>
            <w:r w:rsidR="00622A6C" w:rsidRPr="00622A6C"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水利部</w:t>
            </w:r>
            <w:r w:rsidR="00622A6C" w:rsidRPr="00622A6C"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交通运输部</w:t>
            </w:r>
            <w:r w:rsidR="00622A6C" w:rsidRPr="00622A6C"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622A6C" w:rsidRPr="00622A6C"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国家能源局南京水利科学研究院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、交通运输部天津水运工程科学研究所、青岛双瑞海洋环境工程股份有限公司、中国船舶集团有限公司第十一研究所、中铁武汉大桥工程咨询监理有限公司、</w:t>
            </w:r>
            <w:r w:rsidR="00622A6C"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上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海海科工程咨询有限公司、武汉桥梁建筑工程监理有限公司、北京交通大学</w:t>
            </w:r>
          </w:p>
        </w:tc>
      </w:tr>
      <w:tr w:rsidR="009C777F" w14:paraId="5F18D5FB" w14:textId="77777777">
        <w:trPr>
          <w:trHeight w:val="510"/>
        </w:trPr>
        <w:tc>
          <w:tcPr>
            <w:tcW w:w="1588" w:type="dxa"/>
            <w:vAlign w:val="center"/>
          </w:tcPr>
          <w:p w14:paraId="4CA04A85" w14:textId="77777777" w:rsidR="009C777F" w:rsidRDefault="00C55E51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0"/>
                <w:szCs w:val="20"/>
              </w:rPr>
              <w:t>主要完成人</w:t>
            </w:r>
          </w:p>
        </w:tc>
        <w:tc>
          <w:tcPr>
            <w:tcW w:w="7413" w:type="dxa"/>
            <w:vAlign w:val="center"/>
          </w:tcPr>
          <w:p w14:paraId="246C4863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宋神友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、邓小华、徐国平、陈伟乐、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 xml:space="preserve">  伟、樊健生、吕卫清、吴玉刚、王康臣、</w:t>
            </w:r>
          </w:p>
          <w:p w14:paraId="24E08B53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徐  文、范传斌、李松辉、黄清飞、付佰勇、丁  然、李汪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、吴旭东、李一勇、</w:t>
            </w:r>
          </w:p>
          <w:p w14:paraId="77341EF6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陈  越、陈标烘、龙汉新、钟辉虹、陈伟彬、张长亮、贺春宁、赵永韬、吴凤亮、</w:t>
            </w:r>
          </w:p>
          <w:p w14:paraId="6E78A488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金文良、刘玉擎、范志宏、刘宇飞、赵洪波、严  冰、彭英俊、孔维达、赵奇才、</w:t>
            </w:r>
          </w:p>
          <w:p w14:paraId="4F8CB9F3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杨润党、岳远征、刘  健、刘洪洲、黄文慧、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、丁  瑞、宁进进、邢长利、</w:t>
            </w:r>
          </w:p>
          <w:p w14:paraId="0ED61B3D" w14:textId="77777777" w:rsidR="009C777F" w:rsidRDefault="00C55E51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 xml:space="preserve">李汉君、许兆斌、马定强、许晴爽、刘 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0"/>
                <w:szCs w:val="20"/>
              </w:rPr>
              <w:t>迪</w:t>
            </w:r>
            <w:proofErr w:type="gramEnd"/>
          </w:p>
        </w:tc>
      </w:tr>
      <w:tr w:rsidR="009C777F" w14:paraId="493DD9FC" w14:textId="77777777">
        <w:trPr>
          <w:cantSplit/>
          <w:trHeight w:val="510"/>
        </w:trPr>
        <w:tc>
          <w:tcPr>
            <w:tcW w:w="1588" w:type="dxa"/>
            <w:vMerge w:val="restart"/>
            <w:vAlign w:val="center"/>
          </w:tcPr>
          <w:p w14:paraId="5976F356" w14:textId="77777777" w:rsidR="009C777F" w:rsidRDefault="00C55E51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0"/>
                <w:szCs w:val="20"/>
              </w:rPr>
              <w:t>主要知识产权和标准规范等目录</w:t>
            </w:r>
          </w:p>
        </w:tc>
        <w:tc>
          <w:tcPr>
            <w:tcW w:w="7413" w:type="dxa"/>
            <w:vAlign w:val="center"/>
          </w:tcPr>
          <w:p w14:paraId="35A1C83B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1.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论文：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双钢板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-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混凝土组合结构在沉管隧道中的发展与应用、土木工程学报、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2019,52(04):109-120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2019-04-15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；聂建国；徐国平；樊健生；唐亮；郭宇韬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&gt;</w:t>
            </w:r>
          </w:p>
        </w:tc>
      </w:tr>
      <w:tr w:rsidR="009C777F" w14:paraId="2D0174C6" w14:textId="77777777">
        <w:trPr>
          <w:cantSplit/>
          <w:trHeight w:val="510"/>
        </w:trPr>
        <w:tc>
          <w:tcPr>
            <w:tcW w:w="1588" w:type="dxa"/>
            <w:vMerge/>
          </w:tcPr>
          <w:p w14:paraId="14E99789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7D483A2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2.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一种沉管隧道顶推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式最终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接头装置及施工方法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&gt;</w:t>
            </w:r>
          </w:p>
          <w:p w14:paraId="6E734E8F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ZL202411051833.0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；徐国平；陈伟乐；黄清飞；陈越；金文良；邓斌；刘明虎；付佰勇；刘迪；杜岳；许晴爽、广东省公路建设有限公司；中交公路规划设计院有限公司；深中通道管理中心）</w:t>
            </w:r>
          </w:p>
        </w:tc>
      </w:tr>
      <w:tr w:rsidR="009C777F" w14:paraId="26CB42D5" w14:textId="77777777">
        <w:trPr>
          <w:cantSplit/>
          <w:trHeight w:val="510"/>
        </w:trPr>
        <w:tc>
          <w:tcPr>
            <w:tcW w:w="1588" w:type="dxa"/>
            <w:vMerge/>
          </w:tcPr>
          <w:p w14:paraId="50981364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F729B87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3.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一种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自航式水下隧道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沉管运载安装一体船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&gt;</w:t>
            </w:r>
          </w:p>
          <w:p w14:paraId="1ACCC0FB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ZL201611022374.9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、李一勇；潘伟；国强；李增军；张乃受；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；陈伟乐；王洪涛；由广君、中交第一航务工程局有限公司）</w:t>
            </w:r>
          </w:p>
        </w:tc>
      </w:tr>
      <w:tr w:rsidR="009C777F" w14:paraId="407A1078" w14:textId="77777777">
        <w:trPr>
          <w:cantSplit/>
          <w:trHeight w:val="510"/>
        </w:trPr>
        <w:tc>
          <w:tcPr>
            <w:tcW w:w="1588" w:type="dxa"/>
            <w:vMerge/>
          </w:tcPr>
          <w:p w14:paraId="267B888C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412B6DD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4.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一种高稳健性自密实混凝土专用磷酸基减水剂及其制备方法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&gt;</w:t>
            </w:r>
          </w:p>
          <w:p w14:paraId="41E64661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ZL202111046347.6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、冉千平；陈伟乐；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；夏正奕；刘加平；刘健；舒鑫；金文良；夏丰勇；席俊杰；杨勇；徐文、深中通道管理中心；东南大学；江苏苏博特新材料股份有限公司）</w:t>
            </w:r>
          </w:p>
        </w:tc>
      </w:tr>
      <w:tr w:rsidR="009C777F" w14:paraId="58BD57ED" w14:textId="77777777">
        <w:trPr>
          <w:cantSplit/>
          <w:trHeight w:val="510"/>
        </w:trPr>
        <w:tc>
          <w:tcPr>
            <w:tcW w:w="1588" w:type="dxa"/>
            <w:vMerge/>
          </w:tcPr>
          <w:p w14:paraId="5AC5EF29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B8322A4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5.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一种厚钢壳混凝土的脱空质能检测系统和方法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&gt;</w:t>
            </w:r>
          </w:p>
          <w:p w14:paraId="5DB86FDA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ZL202110228534.X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、李松辉；王康臣；张龑；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；刘静；金文良；席俊杰；刘瑞强；彭英俊；白冰、中国水利水电科学研究院；深中通道管理中心）</w:t>
            </w:r>
          </w:p>
        </w:tc>
      </w:tr>
      <w:tr w:rsidR="009C777F" w14:paraId="575F4187" w14:textId="77777777">
        <w:trPr>
          <w:cantSplit/>
          <w:trHeight w:val="510"/>
        </w:trPr>
        <w:tc>
          <w:tcPr>
            <w:tcW w:w="1588" w:type="dxa"/>
            <w:vMerge/>
          </w:tcPr>
          <w:p w14:paraId="68D47BA0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0F9BE18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6.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沉管钢壳用铝阳极超长服役电化学性能评价方法及检测设备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&gt;</w:t>
            </w:r>
          </w:p>
          <w:p w14:paraId="24EE735D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ZL202010212671.X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、赵永韬；王康臣；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；孙仁兴；尹萍；牟俊生；汪相辰；金文良、青岛双瑞海洋环境工程股份有限公司；深中通道管理中心）</w:t>
            </w:r>
          </w:p>
        </w:tc>
      </w:tr>
      <w:tr w:rsidR="009C777F" w14:paraId="3AEB3C2F" w14:textId="77777777">
        <w:trPr>
          <w:cantSplit/>
          <w:trHeight w:val="510"/>
        </w:trPr>
        <w:tc>
          <w:tcPr>
            <w:tcW w:w="1588" w:type="dxa"/>
            <w:vMerge/>
          </w:tcPr>
          <w:p w14:paraId="57A527A7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29CCCF78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7.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一种确定抗剪连接件的刚度和承载力的方法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&gt;</w:t>
            </w:r>
          </w:p>
          <w:p w14:paraId="16120A9B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ZL201910764482.0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、徐国平；聂建国；樊健生；唐亮；刘洪洲；黄清飞；邱盛源；郭宇韬、中交公路规划设计院有限公司；清华大学；深中通道管理中心）</w:t>
            </w:r>
          </w:p>
        </w:tc>
      </w:tr>
      <w:tr w:rsidR="009C777F" w14:paraId="173408F7" w14:textId="77777777">
        <w:trPr>
          <w:cantSplit/>
          <w:trHeight w:val="510"/>
        </w:trPr>
        <w:tc>
          <w:tcPr>
            <w:tcW w:w="1588" w:type="dxa"/>
            <w:vMerge/>
          </w:tcPr>
          <w:p w14:paraId="79C17D97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392FE338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8.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一种整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平机控制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装置和水下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整平机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&gt;</w:t>
            </w:r>
          </w:p>
          <w:p w14:paraId="035B4E5A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ZL202011261101.6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、马家杰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: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孔维达；李汪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讳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；李冠欢；陈育忠；干志诚；钟汉滨；梁志伟；赵坤；池明华；郭鸿斌；鲁真、广州打捞局）</w:t>
            </w:r>
          </w:p>
        </w:tc>
      </w:tr>
      <w:tr w:rsidR="009C777F" w14:paraId="30A9BA0C" w14:textId="77777777">
        <w:trPr>
          <w:cantSplit/>
          <w:trHeight w:val="510"/>
        </w:trPr>
        <w:tc>
          <w:tcPr>
            <w:tcW w:w="1588" w:type="dxa"/>
            <w:vMerge/>
          </w:tcPr>
          <w:p w14:paraId="72209BAE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35160661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9.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一种沉管隧道管节的建造方法</w:t>
            </w:r>
            <w:r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  <w:t>&gt;</w:t>
            </w:r>
          </w:p>
          <w:p w14:paraId="1C42A01D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ZL202010763269.0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、龙汉新；邓凯；谢义东；张光锋；李伟；陈雄剑、广船国际有限公司；广东省公路建设有限公司）</w:t>
            </w:r>
          </w:p>
        </w:tc>
      </w:tr>
      <w:tr w:rsidR="009C777F" w14:paraId="12D1B1A8" w14:textId="77777777">
        <w:trPr>
          <w:cantSplit/>
          <w:trHeight w:val="510"/>
        </w:trPr>
        <w:tc>
          <w:tcPr>
            <w:tcW w:w="1588" w:type="dxa"/>
            <w:vMerge/>
          </w:tcPr>
          <w:p w14:paraId="5FF4536E" w14:textId="77777777" w:rsidR="009C777F" w:rsidRDefault="009C777F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</w:tcPr>
          <w:p w14:paraId="60024306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10.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外国发明专利：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基于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GPU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计算技术的非结构网格潮汐潮流数值模拟方法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&gt;</w:t>
            </w:r>
          </w:p>
          <w:p w14:paraId="0A5A0A44" w14:textId="77777777" w:rsidR="009C777F" w:rsidRDefault="00C55E51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（荷兰、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OCTROOINUMMER 2023815</w:t>
            </w:r>
            <w:r>
              <w:rPr>
                <w:rFonts w:ascii="Times New Roman" w:eastAsia="仿宋" w:hAnsi="Times New Roman" w:cs="Times New Roman" w:hint="eastAsia"/>
                <w:spacing w:val="8"/>
                <w:sz w:val="20"/>
                <w:szCs w:val="20"/>
              </w:rPr>
              <w:t>、严冰；孙华文；金文良，黄玉新；姚姗姗；杨华；赵张益；侯志强；欧阳群安；谢琳；段莉莉；夏丰勇、交通运输部天津水运工程科学研究所）</w:t>
            </w:r>
          </w:p>
        </w:tc>
      </w:tr>
    </w:tbl>
    <w:p w14:paraId="6FCDE31C" w14:textId="77777777" w:rsidR="009C777F" w:rsidRDefault="009C777F">
      <w:pPr>
        <w:spacing w:before="73" w:line="87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42CAA73" w14:textId="77777777" w:rsidR="009C777F" w:rsidRDefault="009C777F">
      <w:pPr>
        <w:pStyle w:val="a7"/>
        <w:spacing w:before="0" w:beforeAutospacing="0" w:after="0" w:afterAutospacing="0" w:line="579" w:lineRule="exact"/>
        <w:ind w:rightChars="400" w:right="960" w:firstLineChars="200" w:firstLine="640"/>
        <w:jc w:val="righ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sectPr w:rsidR="009C777F">
      <w:footerReference w:type="even" r:id="rId7"/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F416" w14:textId="77777777" w:rsidR="008C65B3" w:rsidRDefault="008C65B3">
      <w:r>
        <w:separator/>
      </w:r>
    </w:p>
  </w:endnote>
  <w:endnote w:type="continuationSeparator" w:id="0">
    <w:p w14:paraId="05A20674" w14:textId="77777777" w:rsidR="008C65B3" w:rsidRDefault="008C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DB34" w14:textId="77777777" w:rsidR="009C777F" w:rsidRDefault="00C55E5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F24E67" w14:textId="77777777" w:rsidR="009C777F" w:rsidRDefault="009C777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7AC7" w14:textId="77777777" w:rsidR="009C777F" w:rsidRDefault="009C777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D7565" w14:textId="77777777" w:rsidR="008C65B3" w:rsidRDefault="008C65B3">
      <w:r>
        <w:separator/>
      </w:r>
    </w:p>
  </w:footnote>
  <w:footnote w:type="continuationSeparator" w:id="0">
    <w:p w14:paraId="4EC46D68" w14:textId="77777777" w:rsidR="008C65B3" w:rsidRDefault="008C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3"/>
    <w:rsid w:val="00025E95"/>
    <w:rsid w:val="00066C69"/>
    <w:rsid w:val="000672CD"/>
    <w:rsid w:val="00076740"/>
    <w:rsid w:val="0008471C"/>
    <w:rsid w:val="00085AD1"/>
    <w:rsid w:val="0009180D"/>
    <w:rsid w:val="00094AE3"/>
    <w:rsid w:val="000C0C70"/>
    <w:rsid w:val="000D06EB"/>
    <w:rsid w:val="000E17F0"/>
    <w:rsid w:val="00113B13"/>
    <w:rsid w:val="0013561E"/>
    <w:rsid w:val="00150902"/>
    <w:rsid w:val="00151FF8"/>
    <w:rsid w:val="00162E7E"/>
    <w:rsid w:val="00162F56"/>
    <w:rsid w:val="0016340F"/>
    <w:rsid w:val="00167FB5"/>
    <w:rsid w:val="0018224D"/>
    <w:rsid w:val="001A282A"/>
    <w:rsid w:val="001A52EC"/>
    <w:rsid w:val="001A68ED"/>
    <w:rsid w:val="001A793A"/>
    <w:rsid w:val="001B04E7"/>
    <w:rsid w:val="001D55EA"/>
    <w:rsid w:val="001E56AE"/>
    <w:rsid w:val="002176EC"/>
    <w:rsid w:val="00217974"/>
    <w:rsid w:val="002211D8"/>
    <w:rsid w:val="00224453"/>
    <w:rsid w:val="002501A3"/>
    <w:rsid w:val="00270584"/>
    <w:rsid w:val="002B1308"/>
    <w:rsid w:val="002B45F4"/>
    <w:rsid w:val="002B5F3F"/>
    <w:rsid w:val="002E2264"/>
    <w:rsid w:val="0030249A"/>
    <w:rsid w:val="003064ED"/>
    <w:rsid w:val="00321520"/>
    <w:rsid w:val="003377C6"/>
    <w:rsid w:val="00337F02"/>
    <w:rsid w:val="003524DE"/>
    <w:rsid w:val="00360365"/>
    <w:rsid w:val="00371FF8"/>
    <w:rsid w:val="003870B7"/>
    <w:rsid w:val="00391DA3"/>
    <w:rsid w:val="003A51F3"/>
    <w:rsid w:val="003B053C"/>
    <w:rsid w:val="003E4BA3"/>
    <w:rsid w:val="0043540F"/>
    <w:rsid w:val="0044787F"/>
    <w:rsid w:val="00451CDD"/>
    <w:rsid w:val="00493958"/>
    <w:rsid w:val="004A042E"/>
    <w:rsid w:val="004B0210"/>
    <w:rsid w:val="004E5990"/>
    <w:rsid w:val="004F14C9"/>
    <w:rsid w:val="00501987"/>
    <w:rsid w:val="005125BA"/>
    <w:rsid w:val="00512A64"/>
    <w:rsid w:val="00523A7C"/>
    <w:rsid w:val="0052748D"/>
    <w:rsid w:val="0056706C"/>
    <w:rsid w:val="005A4F25"/>
    <w:rsid w:val="005C7799"/>
    <w:rsid w:val="005D4A37"/>
    <w:rsid w:val="005E2321"/>
    <w:rsid w:val="005F78F5"/>
    <w:rsid w:val="00611867"/>
    <w:rsid w:val="0061620F"/>
    <w:rsid w:val="00622A6C"/>
    <w:rsid w:val="00636D42"/>
    <w:rsid w:val="006508F3"/>
    <w:rsid w:val="0066647A"/>
    <w:rsid w:val="00667F4E"/>
    <w:rsid w:val="00685E53"/>
    <w:rsid w:val="006A2B43"/>
    <w:rsid w:val="006A6E30"/>
    <w:rsid w:val="006C43AE"/>
    <w:rsid w:val="006E15E9"/>
    <w:rsid w:val="006E3306"/>
    <w:rsid w:val="006F5178"/>
    <w:rsid w:val="00705338"/>
    <w:rsid w:val="007074CA"/>
    <w:rsid w:val="00713C05"/>
    <w:rsid w:val="007178C3"/>
    <w:rsid w:val="007362D0"/>
    <w:rsid w:val="00742FE5"/>
    <w:rsid w:val="00785FAA"/>
    <w:rsid w:val="007947CC"/>
    <w:rsid w:val="007A5089"/>
    <w:rsid w:val="007A63A7"/>
    <w:rsid w:val="007B0D16"/>
    <w:rsid w:val="007E569F"/>
    <w:rsid w:val="00804E7D"/>
    <w:rsid w:val="00823E58"/>
    <w:rsid w:val="00832337"/>
    <w:rsid w:val="00833DCD"/>
    <w:rsid w:val="00860A3C"/>
    <w:rsid w:val="008629AE"/>
    <w:rsid w:val="008662E4"/>
    <w:rsid w:val="00870D34"/>
    <w:rsid w:val="0087630D"/>
    <w:rsid w:val="00893C98"/>
    <w:rsid w:val="008A012F"/>
    <w:rsid w:val="008C1D63"/>
    <w:rsid w:val="008C65B3"/>
    <w:rsid w:val="008D69E8"/>
    <w:rsid w:val="008E2BDB"/>
    <w:rsid w:val="0091018C"/>
    <w:rsid w:val="009118CE"/>
    <w:rsid w:val="00920A73"/>
    <w:rsid w:val="009300C4"/>
    <w:rsid w:val="0097732A"/>
    <w:rsid w:val="009868D6"/>
    <w:rsid w:val="00991F8B"/>
    <w:rsid w:val="009C777F"/>
    <w:rsid w:val="009D1B41"/>
    <w:rsid w:val="009F0D3E"/>
    <w:rsid w:val="009F432C"/>
    <w:rsid w:val="00A1599D"/>
    <w:rsid w:val="00A3275A"/>
    <w:rsid w:val="00A34A83"/>
    <w:rsid w:val="00A57D07"/>
    <w:rsid w:val="00A66D06"/>
    <w:rsid w:val="00A874DE"/>
    <w:rsid w:val="00AA5B25"/>
    <w:rsid w:val="00AB169A"/>
    <w:rsid w:val="00AB2B24"/>
    <w:rsid w:val="00AC0EBE"/>
    <w:rsid w:val="00AC25C0"/>
    <w:rsid w:val="00AC3F22"/>
    <w:rsid w:val="00AE0291"/>
    <w:rsid w:val="00AE5E6F"/>
    <w:rsid w:val="00B274BA"/>
    <w:rsid w:val="00B66356"/>
    <w:rsid w:val="00B7113C"/>
    <w:rsid w:val="00B9598D"/>
    <w:rsid w:val="00BE6D25"/>
    <w:rsid w:val="00C000C1"/>
    <w:rsid w:val="00C10BB9"/>
    <w:rsid w:val="00C20A79"/>
    <w:rsid w:val="00C232A1"/>
    <w:rsid w:val="00C325A0"/>
    <w:rsid w:val="00C5084E"/>
    <w:rsid w:val="00C509F0"/>
    <w:rsid w:val="00C55E51"/>
    <w:rsid w:val="00C619D4"/>
    <w:rsid w:val="00C61EA9"/>
    <w:rsid w:val="00C634BA"/>
    <w:rsid w:val="00CA0097"/>
    <w:rsid w:val="00CA0B90"/>
    <w:rsid w:val="00CA59AC"/>
    <w:rsid w:val="00CA61D0"/>
    <w:rsid w:val="00CE14ED"/>
    <w:rsid w:val="00CF0EA6"/>
    <w:rsid w:val="00CF1080"/>
    <w:rsid w:val="00CF209A"/>
    <w:rsid w:val="00D07198"/>
    <w:rsid w:val="00D17F24"/>
    <w:rsid w:val="00D4202F"/>
    <w:rsid w:val="00D62D82"/>
    <w:rsid w:val="00D7524C"/>
    <w:rsid w:val="00DA0830"/>
    <w:rsid w:val="00DC351A"/>
    <w:rsid w:val="00DD5106"/>
    <w:rsid w:val="00DF19BA"/>
    <w:rsid w:val="00DF27D7"/>
    <w:rsid w:val="00DF33CC"/>
    <w:rsid w:val="00E06340"/>
    <w:rsid w:val="00E11036"/>
    <w:rsid w:val="00E62973"/>
    <w:rsid w:val="00E750D9"/>
    <w:rsid w:val="00E8254F"/>
    <w:rsid w:val="00E95BC9"/>
    <w:rsid w:val="00EE0530"/>
    <w:rsid w:val="00EE2867"/>
    <w:rsid w:val="00F074B5"/>
    <w:rsid w:val="00F11CCA"/>
    <w:rsid w:val="00F11E0D"/>
    <w:rsid w:val="00F23952"/>
    <w:rsid w:val="00F33E29"/>
    <w:rsid w:val="00F35A1C"/>
    <w:rsid w:val="00F62BF3"/>
    <w:rsid w:val="00F957F3"/>
    <w:rsid w:val="00FB0A9B"/>
    <w:rsid w:val="00FC7CC4"/>
    <w:rsid w:val="00FD61C7"/>
    <w:rsid w:val="00FD7AB5"/>
    <w:rsid w:val="00FE7556"/>
    <w:rsid w:val="00FF07DF"/>
    <w:rsid w:val="00FF09AB"/>
    <w:rsid w:val="00FF5F7D"/>
    <w:rsid w:val="12B774FF"/>
    <w:rsid w:val="13EE034D"/>
    <w:rsid w:val="187A7F3A"/>
    <w:rsid w:val="2CB216AE"/>
    <w:rsid w:val="2F3211F6"/>
    <w:rsid w:val="314D66A2"/>
    <w:rsid w:val="363E07D7"/>
    <w:rsid w:val="3B8701AA"/>
    <w:rsid w:val="40DC46C7"/>
    <w:rsid w:val="421425DC"/>
    <w:rsid w:val="4C0D0258"/>
    <w:rsid w:val="4C613EDC"/>
    <w:rsid w:val="6171346B"/>
    <w:rsid w:val="621807CF"/>
    <w:rsid w:val="680B35F3"/>
    <w:rsid w:val="7F3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A20DF"/>
  <w15:docId w15:val="{8048C4DB-1251-4643-92CC-42D019E6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color w:val="000000"/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">
    <w:name w:val="已访问的超链接1"/>
    <w:qFormat/>
    <w:rPr>
      <w:color w:val="0000FF"/>
      <w:u w:val="single"/>
    </w:rPr>
  </w:style>
  <w:style w:type="paragraph" w:customStyle="1" w:styleId="ab">
    <w:name w:val="文件标号"/>
    <w:basedOn w:val="a"/>
    <w:qFormat/>
    <w:pPr>
      <w:spacing w:before="3000" w:line="560" w:lineRule="atLeast"/>
      <w:jc w:val="center"/>
    </w:pPr>
    <w:rPr>
      <w:rFonts w:ascii="Times New Roman" w:eastAsia="仿宋_GB2312" w:hAnsi="Times New Roman" w:cs="Times New Roman"/>
      <w:color w:val="auto"/>
      <w:spacing w:val="20"/>
      <w:sz w:val="30"/>
      <w:szCs w:val="20"/>
    </w:rPr>
  </w:style>
  <w:style w:type="paragraph" w:customStyle="1" w:styleId="ac">
    <w:name w:val="主送单位"/>
    <w:basedOn w:val="a"/>
    <w:qFormat/>
    <w:pPr>
      <w:spacing w:line="560" w:lineRule="atLeast"/>
      <w:jc w:val="both"/>
    </w:pPr>
    <w:rPr>
      <w:rFonts w:ascii="Times New Roman" w:eastAsia="仿宋_GB2312" w:hAnsi="Times New Roman" w:cs="Times New Roman"/>
      <w:color w:val="auto"/>
      <w:sz w:val="32"/>
      <w:szCs w:val="20"/>
    </w:rPr>
  </w:style>
  <w:style w:type="paragraph" w:customStyle="1" w:styleId="TM1">
    <w:name w:val="TM1"/>
    <w:basedOn w:val="a"/>
    <w:autoRedefine/>
    <w:qFormat/>
    <w:pPr>
      <w:widowControl w:val="0"/>
      <w:autoSpaceDE w:val="0"/>
      <w:autoSpaceDN w:val="0"/>
      <w:snapToGrid w:val="0"/>
      <w:spacing w:line="579" w:lineRule="exact"/>
      <w:jc w:val="center"/>
    </w:pPr>
    <w:rPr>
      <w:rFonts w:ascii="Times New Roman" w:eastAsia="方正小标宋_GBK" w:hAnsi="Times New Roman" w:cs="Times New Roman"/>
      <w:snapToGrid w:val="0"/>
      <w:color w:val="auto"/>
      <w:sz w:val="44"/>
      <w:szCs w:val="44"/>
    </w:rPr>
  </w:style>
  <w:style w:type="paragraph" w:customStyle="1" w:styleId="ZW1">
    <w:name w:val="ZW1"/>
    <w:basedOn w:val="a"/>
    <w:autoRedefine/>
    <w:qFormat/>
    <w:pPr>
      <w:widowControl w:val="0"/>
      <w:autoSpaceDE w:val="0"/>
      <w:autoSpaceDN w:val="0"/>
      <w:snapToGrid w:val="0"/>
      <w:spacing w:line="600" w:lineRule="exact"/>
      <w:ind w:firstLineChars="200" w:firstLine="640"/>
      <w:jc w:val="both"/>
    </w:pPr>
    <w:rPr>
      <w:rFonts w:ascii="Times New Roman" w:eastAsia="方正仿宋_GBK" w:hAnsi="Times New Roman" w:cs="Times New Roman"/>
      <w:snapToGrid w:val="0"/>
      <w:color w:val="auto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QS\Desktop\&#24314;&#35774;&#20844;&#21496;&#20415;&#20989;&#65288;&#32418;&#22836;&#6528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A5D1-CB74-499B-972E-35C4B060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建设公司便函（红头）模板.dot</Template>
  <TotalTime>192</TotalTime>
  <Pages>2</Pages>
  <Words>259</Words>
  <Characters>1482</Characters>
  <Application>Microsoft Office Word</Application>
  <DocSecurity>0</DocSecurity>
  <Lines>12</Lines>
  <Paragraphs>3</Paragraphs>
  <ScaleCrop>false</ScaleCrop>
  <Company>GDCG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党委文件</dc:title>
  <dc:creator>XQS</dc:creator>
  <cp:lastModifiedBy>xueyy</cp:lastModifiedBy>
  <cp:revision>4</cp:revision>
  <cp:lastPrinted>2004-06-17T02:31:00Z</cp:lastPrinted>
  <dcterms:created xsi:type="dcterms:W3CDTF">2024-12-10T01:33:00Z</dcterms:created>
  <dcterms:modified xsi:type="dcterms:W3CDTF">2025-06-05T09:39:00Z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eyJoZGlkIjoiOWY1ODMxNzQ4NDhjODZjNWJhZTNjNjE4MmRlOTg3MjgiLCJ1c2VySWQiOiIzMDIxMTc1MzkifQ==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985CD890718442C4AA77FD4B911168B0_13</vt:lpwstr>
  </property>
</Properties>
</file>